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20" w:afterAutospacing="0" w:line="288" w:lineRule="atLeast"/>
        <w:ind w:left="0" w:right="0" w:firstLine="420"/>
        <w:jc w:val="right"/>
        <w:rPr>
          <w:rFonts w:hint="eastAsia" w:ascii="宋体" w:hAnsi="宋体" w:eastAsia="宋体" w:cs="宋体"/>
          <w:color w:val="666666"/>
          <w:kern w:val="0"/>
          <w:sz w:val="24"/>
          <w:szCs w:val="24"/>
          <w:lang w:val="en-US" w:eastAsia="zh-CN" w:bidi="ar"/>
        </w:rPr>
      </w:pPr>
      <w:bookmarkStart w:id="0" w:name="_GoBack"/>
      <w:bookmarkEnd w:id="0"/>
    </w:p>
    <w:tbl>
      <w:tblPr>
        <w:tblStyle w:val="3"/>
        <w:tblW w:w="8913" w:type="dxa"/>
        <w:jc w:val="center"/>
        <w:tblInd w:w="-183" w:type="dxa"/>
        <w:tblBorders>
          <w:top w:val="single" w:color="EEEEEE" w:sz="4" w:space="0"/>
          <w:left w:val="single" w:color="EEEEEE"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00"/>
        <w:gridCol w:w="2136"/>
        <w:gridCol w:w="2136"/>
        <w:gridCol w:w="3441"/>
      </w:tblGrid>
      <w:tr>
        <w:tblPrEx>
          <w:tblBorders>
            <w:top w:val="single" w:color="EEEEEE" w:sz="4" w:space="0"/>
            <w:left w:val="single" w:color="EEEEEE"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6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center"/>
              <w:rPr>
                <w:rFonts w:hint="eastAsia" w:ascii="宋体" w:hAnsi="宋体" w:eastAsia="宋体" w:cs="宋体"/>
                <w:sz w:val="24"/>
                <w:szCs w:val="24"/>
              </w:rPr>
            </w:pPr>
            <w:r>
              <w:rPr>
                <w:rFonts w:hint="eastAsia" w:ascii="宋体" w:hAnsi="宋体" w:eastAsia="宋体" w:cs="宋体"/>
                <w:b/>
                <w:color w:val="666666"/>
                <w:kern w:val="0"/>
                <w:sz w:val="24"/>
                <w:szCs w:val="24"/>
                <w:lang w:val="en-US" w:eastAsia="zh-CN" w:bidi="ar"/>
              </w:rPr>
              <w:t>文件名称</w:t>
            </w:r>
            <w:r>
              <w:rPr>
                <w:rFonts w:hint="eastAsia" w:ascii="宋体" w:hAnsi="宋体" w:eastAsia="宋体" w:cs="宋体"/>
                <w:color w:val="666666"/>
                <w:kern w:val="0"/>
                <w:sz w:val="24"/>
                <w:szCs w:val="24"/>
                <w:lang w:val="en-US" w:eastAsia="zh-CN" w:bidi="ar"/>
              </w:rPr>
              <w:t xml:space="preserve"> </w:t>
            </w:r>
          </w:p>
        </w:tc>
        <w:tc>
          <w:tcPr>
            <w:tcW w:w="2136"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center"/>
              <w:rPr>
                <w:rFonts w:hint="eastAsia" w:ascii="宋体" w:hAnsi="宋体" w:eastAsia="宋体" w:cs="宋体"/>
                <w:sz w:val="24"/>
                <w:szCs w:val="24"/>
              </w:rPr>
            </w:pPr>
            <w:r>
              <w:rPr>
                <w:rFonts w:hint="eastAsia" w:ascii="宋体" w:hAnsi="宋体" w:eastAsia="宋体" w:cs="宋体"/>
                <w:b/>
                <w:color w:val="666666"/>
                <w:kern w:val="0"/>
                <w:sz w:val="24"/>
                <w:szCs w:val="24"/>
                <w:lang w:val="en-US" w:eastAsia="zh-CN" w:bidi="ar"/>
              </w:rPr>
              <w:t>原条款内容</w:t>
            </w:r>
            <w:r>
              <w:rPr>
                <w:rFonts w:hint="eastAsia" w:ascii="宋体" w:hAnsi="宋体" w:eastAsia="宋体" w:cs="宋体"/>
                <w:color w:val="666666"/>
                <w:kern w:val="0"/>
                <w:sz w:val="24"/>
                <w:szCs w:val="24"/>
                <w:lang w:val="en-US" w:eastAsia="zh-CN" w:bidi="ar"/>
              </w:rPr>
              <w:t xml:space="preserve"> </w:t>
            </w:r>
          </w:p>
        </w:tc>
        <w:tc>
          <w:tcPr>
            <w:tcW w:w="2136"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center"/>
              <w:rPr>
                <w:rFonts w:hint="eastAsia" w:ascii="宋体" w:hAnsi="宋体" w:eastAsia="宋体" w:cs="宋体"/>
                <w:sz w:val="24"/>
                <w:szCs w:val="24"/>
              </w:rPr>
            </w:pPr>
            <w:r>
              <w:rPr>
                <w:rFonts w:hint="eastAsia" w:ascii="宋体" w:hAnsi="宋体" w:eastAsia="宋体" w:cs="宋体"/>
                <w:b/>
                <w:color w:val="666666"/>
                <w:kern w:val="0"/>
                <w:sz w:val="24"/>
                <w:szCs w:val="24"/>
                <w:lang w:val="en-US" w:eastAsia="zh-CN" w:bidi="ar"/>
              </w:rPr>
              <w:t>修改依据</w:t>
            </w:r>
            <w:r>
              <w:rPr>
                <w:rFonts w:hint="eastAsia" w:ascii="宋体" w:hAnsi="宋体" w:eastAsia="宋体" w:cs="宋体"/>
                <w:color w:val="666666"/>
                <w:kern w:val="0"/>
                <w:sz w:val="24"/>
                <w:szCs w:val="24"/>
                <w:lang w:val="en-US" w:eastAsia="zh-CN" w:bidi="ar"/>
              </w:rPr>
              <w:t xml:space="preserve"> </w:t>
            </w:r>
          </w:p>
        </w:tc>
        <w:tc>
          <w:tcPr>
            <w:tcW w:w="3441"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center"/>
              <w:rPr>
                <w:rFonts w:hint="eastAsia" w:ascii="宋体" w:hAnsi="宋体" w:eastAsia="宋体" w:cs="宋体"/>
                <w:sz w:val="24"/>
                <w:szCs w:val="24"/>
              </w:rPr>
            </w:pPr>
            <w:r>
              <w:rPr>
                <w:rFonts w:hint="eastAsia" w:ascii="宋体" w:hAnsi="宋体" w:eastAsia="宋体" w:cs="宋体"/>
                <w:b/>
                <w:color w:val="666666"/>
                <w:kern w:val="0"/>
                <w:sz w:val="24"/>
                <w:szCs w:val="24"/>
                <w:lang w:val="en-US" w:eastAsia="zh-CN" w:bidi="ar"/>
              </w:rPr>
              <w:t>修改后条款内容</w:t>
            </w:r>
            <w:r>
              <w:rPr>
                <w:rFonts w:hint="eastAsia" w:ascii="宋体" w:hAnsi="宋体" w:eastAsia="宋体" w:cs="宋体"/>
                <w:color w:val="666666"/>
                <w:kern w:val="0"/>
                <w:sz w:val="24"/>
                <w:szCs w:val="24"/>
                <w:lang w:val="en-US" w:eastAsia="zh-CN" w:bidi="ar"/>
              </w:rPr>
              <w:t xml:space="preserve"> </w:t>
            </w:r>
          </w:p>
        </w:tc>
      </w:tr>
      <w:tr>
        <w:tblPrEx>
          <w:tblBorders>
            <w:top w:val="single" w:color="EEEEEE" w:sz="4" w:space="0"/>
            <w:left w:val="single" w:color="EEEEEE"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60" w:hRule="atLeast"/>
          <w:jc w:val="center"/>
        </w:trPr>
        <w:tc>
          <w:tcPr>
            <w:tcW w:w="1200" w:type="dxa"/>
            <w:vMerge w:val="restart"/>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xml:space="preserve">省人民政府办公厅关于在招投标活动中防治围标串标的通知（鄂政办发〔2008〕64号） </w:t>
            </w:r>
          </w:p>
        </w:tc>
        <w:tc>
          <w:tcPr>
            <w:tcW w:w="2136"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二、遴选招标代理机构</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xml:space="preserve">　　投资总额超过人民币3000万元或单项预算金额超过人民币1000万元的依法必须招标的项目，应采用招标方式选择招标代理机构。招标代理机构的遴选应进入综合招投标中心按照公开招标的程序规范操作。招标代理机构一经确定，除不可抗力或有违法违规行为外，招标人不得更改；中标的招标代理机构因非正当理由放弃中标的，招标人有权没收其投标保证金。 </w:t>
            </w:r>
          </w:p>
        </w:tc>
        <w:tc>
          <w:tcPr>
            <w:tcW w:w="2136"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《招标投标法》第十二条  招标人有权自行选择招标代理机构，委托其办理招标事宜。任何单位和个人不得以任何方式为招标人指定招标代理机构。</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招标人具有编制招标文件和组织评标能力的，可以自行办理招标事宜。任何单位和个人不得强制其委托招标代理机构办理招标事宜。</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xml:space="preserve">　　依法必须进行招标的项目，招标人自行办理招标事宜的，应当向有关行政监督部门备案。 </w:t>
            </w:r>
          </w:p>
        </w:tc>
        <w:tc>
          <w:tcPr>
            <w:tcW w:w="3441"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xml:space="preserve">    二、国有资金占控股或者主导地位的依法必须进行招标的项目，招标人可以采用竞争方式选择招标代理机构，可以在公共资源交易中心进行。 </w:t>
            </w:r>
          </w:p>
        </w:tc>
      </w:tr>
      <w:tr>
        <w:tblPrEx>
          <w:tblBorders>
            <w:top w:val="single" w:color="EEEEEE" w:sz="4" w:space="0"/>
            <w:left w:val="single" w:color="EEEEEE"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60" w:hRule="atLeast"/>
          <w:jc w:val="center"/>
        </w:trPr>
        <w:tc>
          <w:tcPr>
            <w:tcW w:w="1200" w:type="dxa"/>
            <w:vMerge w:val="continue"/>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rPr>
                <w:rFonts w:hint="eastAsia" w:ascii="宋体" w:hAnsi="宋体" w:eastAsia="宋体" w:cs="宋体"/>
                <w:color w:val="666666"/>
                <w:sz w:val="24"/>
                <w:szCs w:val="24"/>
              </w:rPr>
            </w:pPr>
          </w:p>
        </w:tc>
        <w:tc>
          <w:tcPr>
            <w:tcW w:w="2136"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四、完善招投标程序，防治围标串标</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xml:space="preserve">    （二）所有进入综合招投标中心交易的项目，投标保证金一般按照不高于项目概算金额2％收取，但最高不得超过人民币80万元。所有投标人的投标保证金必须由本公司基本账户汇至综合招投标中心投标保证金专用账户，不得以分公司、办事处或其他机构的名义交纳。综合招投标中心在中标通知书发出后按照投标保证金的来款渠道办理投标保证金退款手续。中标人的投标保证金直接转付招标人，招标人和中标人签订合同后5日内，由招标人退还中标人。 </w:t>
            </w:r>
          </w:p>
        </w:tc>
        <w:tc>
          <w:tcPr>
            <w:tcW w:w="2136"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ind w:left="0" w:firstLine="360"/>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xml:space="preserve">1、《招标投标法实施条例》第二十六条 </w:t>
            </w:r>
          </w:p>
          <w:p>
            <w:pPr>
              <w:keepNext w:val="0"/>
              <w:keepLines w:val="0"/>
              <w:widowControl/>
              <w:suppressLineNumbers w:val="0"/>
              <w:spacing w:beforeAutospacing="1" w:afterAutospacing="1"/>
              <w:ind w:left="0" w:firstLine="360"/>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第二十六条　招标人在招标文件中要求投标人提交投标保证金的，投标保证金不得超过招标项目估算价的2%。投标保证金有效期应当与投标有效期一致。</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依法必须进行招标的项目的境内投标单位，以现金或者支票形式提交的投标保证金应当从其基本账户转出。</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招标人不得挪用投标保证金。</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2、《招标投标法实施条例》第五十七条</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xml:space="preserve">    第五十七条  招标人最迟应当在书面合同签订后5日内向中标人和未中标的投标人退还投标保证金及银行同期存款利息。 </w:t>
            </w:r>
          </w:p>
        </w:tc>
        <w:tc>
          <w:tcPr>
            <w:tcW w:w="3441"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四、完善招投标程序，防治围标串标</w:t>
            </w:r>
            <w:r>
              <w:rPr>
                <w:rFonts w:hint="eastAsia" w:ascii="宋体" w:hAnsi="宋体" w:eastAsia="宋体" w:cs="宋体"/>
                <w:color w:val="666666"/>
                <w:kern w:val="0"/>
                <w:sz w:val="24"/>
                <w:szCs w:val="24"/>
                <w:lang w:val="en-US" w:eastAsia="zh-CN" w:bidi="ar"/>
              </w:rPr>
              <w:br w:type="textWrapping"/>
            </w:r>
            <w:r>
              <w:rPr>
                <w:rFonts w:hint="eastAsia" w:ascii="宋体" w:hAnsi="宋体" w:eastAsia="宋体" w:cs="宋体"/>
                <w:color w:val="666666"/>
                <w:kern w:val="0"/>
                <w:sz w:val="24"/>
                <w:szCs w:val="24"/>
                <w:lang w:val="en-US" w:eastAsia="zh-CN" w:bidi="ar"/>
              </w:rPr>
              <w:t xml:space="preserve">    （二）招标人在招标文件中要求投标人提交投标保证金的，投标保证金不得超过招标项目估算价的2%，投标保证金可以采用银行保函、现金或者支票等形式，以现金或者支票形式提交的投标保证金应当从投标人基本账户转出，转入公共资源交易中心投标保证金专用账户。招标人最迟应当在书面合同签订后5日内向中标人和未中标的投标人退还投标保证金及银行同期存款利息。 </w:t>
            </w:r>
          </w:p>
        </w:tc>
      </w:tr>
      <w:tr>
        <w:tblPrEx>
          <w:tblBorders>
            <w:top w:val="single" w:color="EEEEEE" w:sz="4" w:space="0"/>
            <w:left w:val="single" w:color="EEEEEE"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60" w:hRule="atLeast"/>
          <w:jc w:val="center"/>
        </w:trPr>
        <w:tc>
          <w:tcPr>
            <w:tcW w:w="1200" w:type="dxa"/>
            <w:vMerge w:val="continue"/>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rPr>
                <w:rFonts w:hint="eastAsia" w:ascii="宋体" w:hAnsi="宋体" w:eastAsia="宋体" w:cs="宋体"/>
                <w:color w:val="666666"/>
                <w:sz w:val="24"/>
                <w:szCs w:val="24"/>
              </w:rPr>
            </w:pPr>
          </w:p>
        </w:tc>
        <w:tc>
          <w:tcPr>
            <w:tcW w:w="2136"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ind w:left="0" w:firstLine="360"/>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xml:space="preserve">四、完善招投标程序，防治围标串标 </w:t>
            </w:r>
          </w:p>
          <w:p>
            <w:pPr>
              <w:keepNext w:val="0"/>
              <w:keepLines w:val="0"/>
              <w:widowControl/>
              <w:suppressLineNumbers w:val="0"/>
              <w:spacing w:beforeAutospacing="1" w:afterAutospacing="1"/>
              <w:ind w:left="0" w:firstLine="360"/>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xml:space="preserve">（三）所有进入综合招投标中心进行招标的项目必须严格按照《中华人民共和国招标投标法》的规定组成评标委员会。政府投资项目的评标委员会中招标人代表不得超过一名。其他所有评委均从评标专家库中随机抽取，其中造价专业评委不得少于一名。 </w:t>
            </w:r>
          </w:p>
        </w:tc>
        <w:tc>
          <w:tcPr>
            <w:tcW w:w="2136"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xml:space="preserve">    将抽取造价专业评委限为工程建设项目。 </w:t>
            </w:r>
          </w:p>
        </w:tc>
        <w:tc>
          <w:tcPr>
            <w:tcW w:w="3441" w:type="dxa"/>
            <w:tcBorders>
              <w:top w:val="single" w:color="auto" w:sz="8" w:space="0"/>
              <w:left w:val="single" w:color="auto" w:sz="8" w:space="0"/>
              <w:bottom w:val="single" w:color="auto" w:sz="8" w:space="0"/>
              <w:right w:val="single" w:color="auto" w:sz="8" w:space="0"/>
            </w:tcBorders>
            <w:shd w:val="clear" w:color="auto" w:fill="auto"/>
            <w:tcMar>
              <w:top w:w="60" w:type="dxa"/>
              <w:left w:w="120" w:type="dxa"/>
              <w:bottom w:w="60" w:type="dxa"/>
              <w:right w:w="120" w:type="dxa"/>
            </w:tcMar>
            <w:vAlign w:val="center"/>
          </w:tcPr>
          <w:p>
            <w:pPr>
              <w:keepNext w:val="0"/>
              <w:keepLines w:val="0"/>
              <w:widowControl/>
              <w:suppressLineNumbers w:val="0"/>
              <w:spacing w:beforeAutospacing="1" w:afterAutospacing="1"/>
              <w:ind w:left="0" w:firstLine="360"/>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xml:space="preserve">四、完善招投标程序，防治围标串标 </w:t>
            </w:r>
          </w:p>
          <w:p>
            <w:pPr>
              <w:keepNext w:val="0"/>
              <w:keepLines w:val="0"/>
              <w:widowControl/>
              <w:suppressLineNumbers w:val="0"/>
              <w:spacing w:beforeAutospacing="1" w:afterAutospacing="1"/>
              <w:ind w:left="0" w:firstLine="360"/>
              <w:jc w:val="left"/>
              <w:rPr>
                <w:rFonts w:hint="eastAsia" w:ascii="宋体" w:hAnsi="宋体" w:eastAsia="宋体" w:cs="宋体"/>
                <w:sz w:val="24"/>
                <w:szCs w:val="24"/>
              </w:rPr>
            </w:pPr>
            <w:r>
              <w:rPr>
                <w:rFonts w:hint="eastAsia" w:ascii="宋体" w:hAnsi="宋体" w:eastAsia="宋体" w:cs="宋体"/>
                <w:color w:val="666666"/>
                <w:kern w:val="0"/>
                <w:sz w:val="24"/>
                <w:szCs w:val="24"/>
                <w:lang w:val="en-US" w:eastAsia="zh-CN" w:bidi="ar"/>
              </w:rPr>
              <w:t xml:space="preserve">（三）进入公共资源交易中心招标的项目，评标专家必须在省综合性评标专家总库中随机抽取，抽取的专家人数不得少于评标委员会总人数的三分之二。工程建设项目的评委中造价专业评委不得少于一名。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B5033"/>
    <w:rsid w:val="79FB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2019-02-25T03:28:00Z</dcterms:created>
  <dc:creator>湖北中弘</dc:creator>
  <cp:lastModifiedBy>湖北中弘</cp:lastModifiedBy>
  <dcterms:modified xsi:type="dcterms:W3CDTF">2019-02-25T03:30:28Z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